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1856D4F" w:rsidR="00F110CD" w:rsidRPr="00C00DA5" w:rsidRDefault="00F110CD" w:rsidP="00F110CD">
      <w:pPr>
        <w:pStyle w:val="Header"/>
        <w:tabs>
          <w:tab w:val="right" w:pos="9639"/>
        </w:tabs>
        <w:rPr>
          <w:bCs/>
          <w:noProof w:val="0"/>
          <w:sz w:val="24"/>
          <w:szCs w:val="24"/>
          <w:lang w:val="pt-BR"/>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516E00">
        <w:rPr>
          <w:bCs/>
          <w:noProof w:val="0"/>
          <w:sz w:val="24"/>
          <w:szCs w:val="24"/>
          <w:lang w:val="de-DE"/>
        </w:rPr>
        <w:t>2</w:t>
      </w:r>
      <w:r w:rsidR="00F56433">
        <w:rPr>
          <w:bCs/>
          <w:noProof w:val="0"/>
          <w:sz w:val="24"/>
          <w:szCs w:val="24"/>
          <w:lang w:val="de-DE"/>
        </w:rPr>
        <w:t>bis-e</w:t>
      </w:r>
      <w:r w:rsidR="001348FE" w:rsidRPr="00A1678B">
        <w:rPr>
          <w:bCs/>
          <w:noProof w:val="0"/>
          <w:sz w:val="24"/>
          <w:szCs w:val="24"/>
          <w:lang w:val="de-DE"/>
        </w:rPr>
        <w:tab/>
      </w:r>
      <w:r w:rsidR="00BA1872" w:rsidRPr="00A1678B">
        <w:rPr>
          <w:bCs/>
          <w:noProof w:val="0"/>
          <w:sz w:val="24"/>
          <w:szCs w:val="24"/>
          <w:lang w:val="de-DE"/>
        </w:rPr>
        <w:t>R1-</w:t>
      </w:r>
      <w:r w:rsidR="00C00DA5" w:rsidRPr="00C00DA5">
        <w:rPr>
          <w:bCs/>
          <w:noProof w:val="0"/>
          <w:sz w:val="24"/>
          <w:szCs w:val="24"/>
          <w:lang w:val="de-DE"/>
        </w:rPr>
        <w:t>2302896</w:t>
      </w:r>
    </w:p>
    <w:p w14:paraId="30E02940" w14:textId="17C50ACA" w:rsidR="00CA26CE" w:rsidRDefault="00F56433" w:rsidP="00CA26CE">
      <w:pPr>
        <w:pStyle w:val="Header"/>
        <w:rPr>
          <w:bCs/>
          <w:noProof w:val="0"/>
          <w:sz w:val="24"/>
          <w:szCs w:val="24"/>
        </w:rPr>
      </w:pPr>
      <w:r>
        <w:rPr>
          <w:bCs/>
          <w:noProof w:val="0"/>
          <w:sz w:val="24"/>
          <w:szCs w:val="24"/>
        </w:rPr>
        <w:t>Electronic meeting</w:t>
      </w:r>
      <w:r w:rsidR="006A60AC">
        <w:rPr>
          <w:bCs/>
          <w:noProof w:val="0"/>
          <w:sz w:val="24"/>
          <w:szCs w:val="24"/>
        </w:rPr>
        <w:t xml:space="preserve">, </w:t>
      </w:r>
      <w:r>
        <w:rPr>
          <w:bCs/>
          <w:noProof w:val="0"/>
          <w:sz w:val="24"/>
          <w:szCs w:val="24"/>
        </w:rPr>
        <w:t>1</w:t>
      </w:r>
      <w:r w:rsidR="00516E00">
        <w:rPr>
          <w:bCs/>
          <w:noProof w:val="0"/>
          <w:sz w:val="24"/>
          <w:szCs w:val="24"/>
        </w:rPr>
        <w:t>7</w:t>
      </w:r>
      <w:r w:rsidR="00516E00" w:rsidRPr="00516E00">
        <w:rPr>
          <w:bCs/>
          <w:noProof w:val="0"/>
          <w:sz w:val="24"/>
          <w:szCs w:val="24"/>
          <w:vertAlign w:val="superscript"/>
        </w:rPr>
        <w:t>th</w:t>
      </w:r>
      <w:r w:rsidR="00516E00">
        <w:rPr>
          <w:bCs/>
          <w:noProof w:val="0"/>
          <w:sz w:val="24"/>
          <w:szCs w:val="24"/>
        </w:rPr>
        <w:t xml:space="preserve"> – </w:t>
      </w:r>
      <w:r>
        <w:rPr>
          <w:bCs/>
          <w:noProof w:val="0"/>
          <w:sz w:val="24"/>
          <w:szCs w:val="24"/>
        </w:rPr>
        <w:t>26</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516E00">
        <w:rPr>
          <w:bCs/>
          <w:noProof w:val="0"/>
          <w:sz w:val="24"/>
          <w:szCs w:val="24"/>
        </w:rPr>
        <w: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7390DF8E"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17.</w:t>
      </w:r>
      <w:r w:rsidR="0061334A">
        <w:rPr>
          <w:rFonts w:cs="Arial"/>
          <w:b/>
          <w:bCs/>
          <w:sz w:val="24"/>
          <w:szCs w:val="24"/>
        </w:rPr>
        <w:t>1</w:t>
      </w:r>
      <w:r w:rsidR="00FE4290">
        <w:rPr>
          <w:rFonts w:cs="Arial"/>
          <w:b/>
          <w:bCs/>
          <w:sz w:val="24"/>
          <w:szCs w:val="24"/>
          <w:lang w:val="en-US"/>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FFD75C2" w:rsidR="0034111C" w:rsidRPr="00FE4290" w:rsidRDefault="0034111C" w:rsidP="16512788">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for </w:t>
      </w:r>
      <w:proofErr w:type="spellStart"/>
      <w:r w:rsidR="00FE4290">
        <w:rPr>
          <w:rFonts w:ascii="Arial" w:hAnsi="Arial" w:cs="Arial"/>
          <w:b/>
          <w:bCs/>
          <w:sz w:val="24"/>
          <w:lang w:val="en-US"/>
        </w:rPr>
        <w:t>eDSS</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08A5A9F5" w14:textId="77777777" w:rsidR="00FE4290" w:rsidRDefault="00FE4290" w:rsidP="00FE4290">
      <w:bookmarkStart w:id="1" w:name="_Hlk115102683"/>
      <w:bookmarkStart w:id="2" w:name="_Hlk510705081"/>
      <w:r w:rsidRPr="00D94E9C">
        <w:rPr>
          <w:b/>
          <w:bCs/>
        </w:rPr>
        <w:t>RAN1#110</w:t>
      </w:r>
      <w:r>
        <w:t xml:space="preserve"> made the core agreement for configuring PDCCH on LTE CRS as follows:</w:t>
      </w:r>
    </w:p>
    <w:tbl>
      <w:tblPr>
        <w:tblStyle w:val="TableGrid"/>
        <w:tblW w:w="0" w:type="auto"/>
        <w:tblLook w:val="04A0" w:firstRow="1" w:lastRow="0" w:firstColumn="1" w:lastColumn="0" w:noHBand="0" w:noVBand="1"/>
      </w:tblPr>
      <w:tblGrid>
        <w:gridCol w:w="9629"/>
      </w:tblGrid>
      <w:tr w:rsidR="00FE4290" w14:paraId="3C98D8A8" w14:textId="77777777" w:rsidTr="001B6DE2">
        <w:tc>
          <w:tcPr>
            <w:tcW w:w="9629" w:type="dxa"/>
          </w:tcPr>
          <w:p w14:paraId="5675C79C" w14:textId="77777777" w:rsidR="00FE4290" w:rsidRPr="007A2EDA" w:rsidRDefault="00FE4290" w:rsidP="001B6DE2">
            <w:pPr>
              <w:pStyle w:val="ListParagraph"/>
              <w:widowControl w:val="0"/>
              <w:ind w:left="0"/>
              <w:jc w:val="both"/>
              <w:rPr>
                <w:sz w:val="20"/>
                <w:szCs w:val="20"/>
                <w:highlight w:val="green"/>
                <w:lang w:val="en-US"/>
              </w:rPr>
            </w:pPr>
            <w:r w:rsidRPr="007A2EDA">
              <w:rPr>
                <w:sz w:val="20"/>
                <w:szCs w:val="20"/>
                <w:highlight w:val="green"/>
                <w:lang w:val="en-US"/>
              </w:rPr>
              <w:t>Agreement</w:t>
            </w:r>
          </w:p>
          <w:p w14:paraId="7F77A0EE" w14:textId="77777777" w:rsidR="00FE4290" w:rsidRPr="007A2EDA" w:rsidRDefault="00FE4290" w:rsidP="001B6DE2">
            <w:pPr>
              <w:pStyle w:val="ListParagraph"/>
              <w:widowControl w:val="0"/>
              <w:ind w:left="0"/>
              <w:jc w:val="both"/>
              <w:rPr>
                <w:sz w:val="20"/>
                <w:szCs w:val="20"/>
                <w:lang w:val="en-US"/>
              </w:rPr>
            </w:pPr>
            <w:r w:rsidRPr="007A2EDA">
              <w:rPr>
                <w:sz w:val="20"/>
                <w:szCs w:val="20"/>
                <w:lang w:val="en-US"/>
              </w:rPr>
              <w:t xml:space="preserve">If the </w:t>
            </w:r>
            <w:r w:rsidRPr="007A2EDA">
              <w:rPr>
                <w:rFonts w:hint="eastAsia"/>
                <w:sz w:val="20"/>
                <w:szCs w:val="20"/>
                <w:lang w:val="en-US"/>
              </w:rPr>
              <w:t>feature</w:t>
            </w:r>
            <w:r w:rsidRPr="007A2EDA">
              <w:rPr>
                <w:sz w:val="20"/>
                <w:szCs w:val="20"/>
                <w:lang w:val="en-US"/>
              </w:rPr>
              <w:t xml:space="preserve"> </w:t>
            </w:r>
            <w:r w:rsidRPr="007A2EDA">
              <w:rPr>
                <w:rFonts w:hint="eastAsia"/>
                <w:sz w:val="20"/>
                <w:szCs w:val="20"/>
                <w:lang w:val="en-US"/>
              </w:rPr>
              <w:t>“</w:t>
            </w:r>
            <w:r w:rsidRPr="007A2EDA">
              <w:rPr>
                <w:sz w:val="20"/>
                <w:szCs w:val="20"/>
                <w:lang w:val="en-US"/>
              </w:rPr>
              <w:t xml:space="preserve">Reception of NR PDCCH candidates that overlap with LTE CRS REs </w:t>
            </w:r>
            <w:r w:rsidRPr="007A2EDA">
              <w:rPr>
                <w:rFonts w:hint="eastAsia"/>
                <w:sz w:val="20"/>
                <w:szCs w:val="20"/>
                <w:lang w:val="en-US"/>
              </w:rPr>
              <w:t>“</w:t>
            </w:r>
            <w:r w:rsidRPr="007A2EDA">
              <w:rPr>
                <w:sz w:val="20"/>
                <w:szCs w:val="20"/>
                <w:lang w:val="en-US"/>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B65D4EE" w14:textId="77777777" w:rsidR="00FE4290" w:rsidRPr="007A2EDA" w:rsidRDefault="00FE4290" w:rsidP="001B6DE2">
            <w:pPr>
              <w:pStyle w:val="ListParagraph"/>
              <w:widowControl w:val="0"/>
              <w:ind w:left="0"/>
              <w:jc w:val="both"/>
              <w:rPr>
                <w:sz w:val="20"/>
                <w:szCs w:val="20"/>
                <w:lang w:val="en-US"/>
              </w:rPr>
            </w:pPr>
          </w:p>
          <w:p w14:paraId="7CA67BB5" w14:textId="77777777" w:rsidR="00FE4290" w:rsidRPr="0074768D" w:rsidRDefault="00FE4290" w:rsidP="001B6DE2">
            <w:pPr>
              <w:rPr>
                <w:b/>
                <w:bCs/>
                <w:strike/>
                <w:highlight w:val="green"/>
              </w:rPr>
            </w:pPr>
            <w:r w:rsidRPr="0074768D">
              <w:rPr>
                <w:b/>
                <w:bCs/>
                <w:highlight w:val="green"/>
              </w:rPr>
              <w:t>Agreement</w:t>
            </w:r>
          </w:p>
          <w:p w14:paraId="19E4D960" w14:textId="77777777" w:rsidR="00FE4290" w:rsidRPr="0074768D" w:rsidRDefault="00FE4290" w:rsidP="001B6DE2">
            <w:r w:rsidRPr="0074768D">
              <w:t>Reception of NR PDCCH candidates that overlap with LTE CRS REs is supported by Rel18 UEs</w:t>
            </w:r>
          </w:p>
          <w:p w14:paraId="7B73ECD9" w14:textId="77777777" w:rsidR="00FE4290" w:rsidRPr="0074768D" w:rsidRDefault="00FE4290" w:rsidP="001B6DE2">
            <w:pPr>
              <w:rPr>
                <w:rFonts w:eastAsia="DengXian"/>
                <w:lang w:eastAsia="zh-CN"/>
              </w:rPr>
            </w:pPr>
            <w:r w:rsidRPr="0074768D">
              <w:rPr>
                <w:rFonts w:eastAsia="DengXian" w:hint="eastAsia"/>
                <w:lang w:eastAsia="zh-CN"/>
              </w:rPr>
              <w:t>P</w:t>
            </w:r>
            <w:r w:rsidRPr="0074768D">
              <w:rPr>
                <w:rFonts w:eastAsia="DengXian"/>
                <w:lang w:eastAsia="zh-CN"/>
              </w:rPr>
              <w:t>DCCH candidates and PDCCH-DMRS RE mapping are based on that of R15 from UE side.</w:t>
            </w:r>
          </w:p>
          <w:p w14:paraId="29522AC8" w14:textId="77777777" w:rsidR="00FE4290" w:rsidRPr="0074768D" w:rsidRDefault="00FE4290" w:rsidP="001B6DE2">
            <w:r w:rsidRPr="0074768D">
              <w:t xml:space="preserve">Note: depends on UE capability </w:t>
            </w:r>
          </w:p>
          <w:p w14:paraId="50400E80" w14:textId="77777777" w:rsidR="00FE4290" w:rsidRPr="0074768D" w:rsidRDefault="00FE4290" w:rsidP="001B6DE2">
            <w:pPr>
              <w:spacing w:after="0"/>
            </w:pPr>
            <w:r w:rsidRPr="0074768D">
              <w:t>Following options can be used for PDCCH-DMRS channel estimation</w:t>
            </w:r>
          </w:p>
          <w:p w14:paraId="44792828" w14:textId="77777777" w:rsidR="00FE4290" w:rsidRPr="0074768D" w:rsidRDefault="00FE4290" w:rsidP="00FE4290">
            <w:pPr>
              <w:pStyle w:val="ListParagraph"/>
              <w:widowControl w:val="0"/>
              <w:numPr>
                <w:ilvl w:val="0"/>
                <w:numId w:val="32"/>
              </w:numPr>
              <w:contextualSpacing w:val="0"/>
              <w:jc w:val="both"/>
              <w:rPr>
                <w:sz w:val="20"/>
                <w:szCs w:val="20"/>
              </w:rPr>
            </w:pPr>
            <w:proofErr w:type="spellStart"/>
            <w:r w:rsidRPr="0074768D">
              <w:rPr>
                <w:sz w:val="20"/>
                <w:szCs w:val="20"/>
              </w:rPr>
              <w:t>legacy</w:t>
            </w:r>
            <w:proofErr w:type="spellEnd"/>
            <w:r w:rsidRPr="0074768D">
              <w:rPr>
                <w:sz w:val="20"/>
                <w:szCs w:val="20"/>
              </w:rPr>
              <w:t xml:space="preserve"> CE </w:t>
            </w:r>
            <w:proofErr w:type="spellStart"/>
            <w:r w:rsidRPr="0074768D">
              <w:rPr>
                <w:sz w:val="20"/>
                <w:szCs w:val="20"/>
              </w:rPr>
              <w:t>assumption</w:t>
            </w:r>
            <w:proofErr w:type="spellEnd"/>
            <w:r w:rsidRPr="0074768D">
              <w:rPr>
                <w:sz w:val="20"/>
                <w:szCs w:val="20"/>
              </w:rPr>
              <w:t xml:space="preserve"> </w:t>
            </w:r>
          </w:p>
          <w:p w14:paraId="77065055" w14:textId="77777777" w:rsidR="00FE4290" w:rsidRPr="007A2EDA" w:rsidRDefault="00FE4290" w:rsidP="00FE4290">
            <w:pPr>
              <w:pStyle w:val="ListParagraph"/>
              <w:widowControl w:val="0"/>
              <w:numPr>
                <w:ilvl w:val="1"/>
                <w:numId w:val="32"/>
              </w:numPr>
              <w:contextualSpacing w:val="0"/>
              <w:jc w:val="both"/>
              <w:rPr>
                <w:sz w:val="20"/>
                <w:szCs w:val="20"/>
                <w:lang w:val="en-US"/>
              </w:rPr>
            </w:pPr>
            <w:r w:rsidRPr="007A2EDA">
              <w:rPr>
                <w:sz w:val="20"/>
                <w:szCs w:val="20"/>
                <w:lang w:val="en-US"/>
              </w:rPr>
              <w:t>RAN1 consider support this, if no RAN4 performance requirements are defined</w:t>
            </w:r>
          </w:p>
          <w:p w14:paraId="4844C9DC" w14:textId="77777777" w:rsidR="00FE4290" w:rsidRPr="007A2EDA" w:rsidRDefault="00FE4290" w:rsidP="00FE4290">
            <w:pPr>
              <w:pStyle w:val="ListParagraph"/>
              <w:widowControl w:val="0"/>
              <w:numPr>
                <w:ilvl w:val="0"/>
                <w:numId w:val="32"/>
              </w:numPr>
              <w:contextualSpacing w:val="0"/>
              <w:jc w:val="both"/>
              <w:rPr>
                <w:sz w:val="20"/>
                <w:szCs w:val="20"/>
                <w:lang w:val="en-US"/>
              </w:rPr>
            </w:pPr>
            <w:r w:rsidRPr="007A2EDA">
              <w:rPr>
                <w:sz w:val="20"/>
                <w:szCs w:val="20"/>
                <w:lang w:val="en-US"/>
              </w:rPr>
              <w:t>CE on clean symbol(s) only (this channel estimation option does not apply for 1 symbol CORESET)</w:t>
            </w:r>
          </w:p>
          <w:p w14:paraId="1200D5DD" w14:textId="77777777" w:rsidR="00FE4290" w:rsidRPr="007A2EDA" w:rsidRDefault="00FE4290" w:rsidP="001B6DE2">
            <w:pPr>
              <w:pStyle w:val="ListParagraph"/>
              <w:widowControl w:val="0"/>
              <w:ind w:left="0"/>
              <w:jc w:val="both"/>
              <w:rPr>
                <w:sz w:val="20"/>
                <w:szCs w:val="20"/>
                <w:lang w:val="en-US"/>
              </w:rPr>
            </w:pPr>
          </w:p>
          <w:p w14:paraId="45194A10" w14:textId="77777777" w:rsidR="00FE4290" w:rsidRPr="007A2EDA" w:rsidRDefault="00FE4290" w:rsidP="001B6DE2">
            <w:pPr>
              <w:pStyle w:val="ListParagraph"/>
              <w:widowControl w:val="0"/>
              <w:ind w:left="0"/>
              <w:jc w:val="both"/>
              <w:rPr>
                <w:rFonts w:eastAsia="DengXian"/>
                <w:sz w:val="20"/>
                <w:szCs w:val="20"/>
                <w:lang w:val="en-US"/>
              </w:rPr>
            </w:pPr>
            <w:r w:rsidRPr="007A2EDA">
              <w:rPr>
                <w:rFonts w:eastAsia="DengXian" w:hint="eastAsia"/>
                <w:sz w:val="20"/>
                <w:szCs w:val="20"/>
                <w:lang w:val="en-US"/>
              </w:rPr>
              <w:t>N</w:t>
            </w:r>
            <w:r w:rsidRPr="007A2EDA">
              <w:rPr>
                <w:rFonts w:eastAsia="DengXian"/>
                <w:sz w:val="20"/>
                <w:szCs w:val="20"/>
                <w:lang w:val="en-US"/>
              </w:rPr>
              <w:t>ote: Restriction on the symbols and/or LTE CRS patterns applicable for above agreements can be considered during UE capability session.</w:t>
            </w:r>
          </w:p>
          <w:p w14:paraId="763B2C4A" w14:textId="77777777" w:rsidR="00FE4290" w:rsidRPr="007A2EDA" w:rsidRDefault="00FE4290" w:rsidP="001B6DE2">
            <w:pPr>
              <w:pStyle w:val="ListParagraph"/>
              <w:widowControl w:val="0"/>
              <w:ind w:left="0"/>
              <w:jc w:val="both"/>
              <w:rPr>
                <w:rFonts w:eastAsia="DengXian"/>
                <w:sz w:val="20"/>
                <w:szCs w:val="20"/>
                <w:lang w:val="en-US"/>
              </w:rPr>
            </w:pPr>
          </w:p>
          <w:p w14:paraId="571F02F9" w14:textId="77777777" w:rsidR="00FE4290" w:rsidRPr="007A2EDA" w:rsidRDefault="00FE4290" w:rsidP="001B6DE2">
            <w:pPr>
              <w:pStyle w:val="ListParagraph"/>
              <w:widowControl w:val="0"/>
              <w:ind w:left="0"/>
              <w:jc w:val="both"/>
              <w:rPr>
                <w:rFonts w:eastAsia="DengXian"/>
                <w:b/>
                <w:bCs/>
                <w:sz w:val="20"/>
                <w:szCs w:val="20"/>
                <w:lang w:val="en-US"/>
              </w:rPr>
            </w:pPr>
            <w:r w:rsidRPr="007A2EDA">
              <w:rPr>
                <w:rFonts w:eastAsia="DengXian" w:hint="eastAsia"/>
                <w:b/>
                <w:bCs/>
                <w:sz w:val="20"/>
                <w:szCs w:val="20"/>
                <w:lang w:val="en-US"/>
              </w:rPr>
              <w:t>C</w:t>
            </w:r>
            <w:r w:rsidRPr="007A2EDA">
              <w:rPr>
                <w:rFonts w:eastAsia="DengXian"/>
                <w:b/>
                <w:bCs/>
                <w:sz w:val="20"/>
                <w:szCs w:val="20"/>
                <w:lang w:val="en-US"/>
              </w:rPr>
              <w:t>onclusion</w:t>
            </w:r>
          </w:p>
          <w:p w14:paraId="5BC20078" w14:textId="77777777" w:rsidR="00FE4290" w:rsidRPr="007A2EDA" w:rsidRDefault="00FE4290" w:rsidP="001B6DE2">
            <w:pPr>
              <w:pStyle w:val="ListParagraph"/>
              <w:widowControl w:val="0"/>
              <w:ind w:left="0"/>
              <w:jc w:val="both"/>
              <w:rPr>
                <w:rFonts w:eastAsia="DengXian"/>
                <w:lang w:val="en-US"/>
              </w:rPr>
            </w:pPr>
            <w:r w:rsidRPr="007A2EDA">
              <w:rPr>
                <w:rFonts w:eastAsia="DengXian" w:hint="eastAsia"/>
                <w:sz w:val="20"/>
                <w:szCs w:val="20"/>
                <w:lang w:val="en-US"/>
              </w:rPr>
              <w:t>R</w:t>
            </w:r>
            <w:r w:rsidRPr="007A2EDA">
              <w:rPr>
                <w:rFonts w:eastAsia="DengXian"/>
                <w:sz w:val="20"/>
                <w:szCs w:val="20"/>
                <w:lang w:val="en-US"/>
              </w:rPr>
              <w:t>AN1 understands above agreements applies to 15kHz SCS only.</w:t>
            </w:r>
          </w:p>
        </w:tc>
      </w:tr>
      <w:bookmarkEnd w:id="1"/>
    </w:tbl>
    <w:p w14:paraId="4EBC6F6F" w14:textId="77777777" w:rsidR="00FE4290" w:rsidRDefault="00FE4290" w:rsidP="00FE4290"/>
    <w:p w14:paraId="2E0BDD53" w14:textId="080FED61" w:rsidR="00FE4290" w:rsidRDefault="00FE4290" w:rsidP="00FE4290">
      <w:r w:rsidRPr="00D94E9C">
        <w:rPr>
          <w:b/>
          <w:bCs/>
        </w:rPr>
        <w:t>RAN1#110bis</w:t>
      </w:r>
      <w:r>
        <w:t xml:space="preserve"> further discussed the UE capabilities and RRC configuration of the NR PDCCH on LTE CRS under agenda item 9.17 – Rel-18 Others under an email thread </w:t>
      </w:r>
      <w:r w:rsidRPr="00D94E9C">
        <w:t xml:space="preserve">[110bis-e-R18-Others-01] </w:t>
      </w:r>
      <w:r>
        <w:t>with no conclusion [</w:t>
      </w:r>
      <w:hyperlink r:id="rId13" w:history="1">
        <w:r w:rsidR="00AB4632" w:rsidRPr="007A2EDA">
          <w:rPr>
            <w:rStyle w:val="Hyperlink"/>
            <w:lang w:val="en-US" w:eastAsia="x-none"/>
          </w:rPr>
          <w:t>R1-2210358</w:t>
        </w:r>
      </w:hyperlink>
      <w:r>
        <w:t>].</w:t>
      </w:r>
    </w:p>
    <w:p w14:paraId="1836977D" w14:textId="12588C28" w:rsidR="00FE4290" w:rsidRDefault="00FE4290" w:rsidP="00FE4290">
      <w:r>
        <w:t xml:space="preserve">This contribution continues the discussion on UE capabilities </w:t>
      </w:r>
      <w:r w:rsidR="00ED3022">
        <w:t xml:space="preserve">for </w:t>
      </w:r>
      <w:proofErr w:type="spellStart"/>
      <w:r w:rsidR="00ED3022">
        <w:t>eDSS</w:t>
      </w:r>
      <w:proofErr w:type="spellEnd"/>
      <w:r>
        <w:t>.</w:t>
      </w:r>
    </w:p>
    <w:p w14:paraId="015E6431" w14:textId="77777777" w:rsidR="00FE4290" w:rsidRDefault="00FE4290" w:rsidP="00FE4290"/>
    <w:p w14:paraId="71230483" w14:textId="72F9C930" w:rsidR="00305297" w:rsidRDefault="007820D0" w:rsidP="00A23DCA">
      <w:pPr>
        <w:pStyle w:val="Heading1"/>
      </w:pPr>
      <w:r>
        <w:t>Discussion</w:t>
      </w:r>
    </w:p>
    <w:bookmarkEnd w:id="2"/>
    <w:p w14:paraId="034C2C36" w14:textId="0908FE52" w:rsidR="00FE4290" w:rsidRDefault="00FE4290" w:rsidP="00FE4290">
      <w:r>
        <w:t>RAN1 has discussed over several meetings during the WI phase, whether the specifications should allow the</w:t>
      </w:r>
      <w:r w:rsidRPr="00DE74AD">
        <w:t xml:space="preserve"> possibility to configure the UE with a CORESET that does not have a “clean” symbol, </w:t>
      </w:r>
      <w:proofErr w:type="gramStart"/>
      <w:r w:rsidRPr="00DE74AD">
        <w:t>i.e.</w:t>
      </w:r>
      <w:proofErr w:type="gramEnd"/>
      <w:r w:rsidRPr="00DE74AD">
        <w:t xml:space="preserve"> there is no symbol that doesn’t overlap with LTE CRS. However, </w:t>
      </w:r>
      <w:r>
        <w:t xml:space="preserve">we do not see this as </w:t>
      </w:r>
      <w:r w:rsidRPr="00DE74AD">
        <w:t xml:space="preserve">a </w:t>
      </w:r>
      <w:r>
        <w:t xml:space="preserve">UE </w:t>
      </w:r>
      <w:r w:rsidRPr="00DE74AD">
        <w:t>capability differentiator per-se</w:t>
      </w:r>
      <w:r>
        <w:t xml:space="preserve">; it is clear that </w:t>
      </w:r>
      <w:proofErr w:type="gramStart"/>
      <w:r>
        <w:t>the all</w:t>
      </w:r>
      <w:proofErr w:type="gramEnd"/>
      <w:r>
        <w:t xml:space="preserve"> UEs have the ability to demodulate and decode a PDCCH, and this ability is still there even if the PDCCH is overlapping (fully or partially) with LTE CRS</w:t>
      </w:r>
      <w:r w:rsidRPr="00DE74AD">
        <w:t xml:space="preserve">. </w:t>
      </w:r>
      <w:r>
        <w:t xml:space="preserve">Already with </w:t>
      </w:r>
      <w:r w:rsidRPr="00DE74AD">
        <w:t xml:space="preserve">Rel-15 UEs can be configured with a CORESET that doesn’t have clean symbols </w:t>
      </w:r>
      <w:proofErr w:type="gramStart"/>
      <w:r w:rsidRPr="00DE74AD">
        <w:t>as long as</w:t>
      </w:r>
      <w:proofErr w:type="gramEnd"/>
      <w:r w:rsidRPr="00DE74AD">
        <w:t xml:space="preserve"> the UE is not aware of the presence of the LTE CRS in the system</w:t>
      </w:r>
      <w:r>
        <w:t>, in which case the UE would happily process the PDCCH candidate without ever bothering to worry about what the CRS REs are doing to the PDCCH channel estimate or demodulation performance</w:t>
      </w:r>
      <w:r w:rsidRPr="00DE74AD">
        <w:t>. Making the UE aware of the LTE CRS presence should not eliminate th</w:t>
      </w:r>
      <w:r>
        <w:t>is</w:t>
      </w:r>
      <w:r w:rsidRPr="00DE74AD">
        <w:t xml:space="preserve"> UEs ability </w:t>
      </w:r>
      <w:r>
        <w:t>of</w:t>
      </w:r>
      <w:r w:rsidRPr="00DE74AD">
        <w:t xml:space="preserve"> handl</w:t>
      </w:r>
      <w:r>
        <w:t>ing</w:t>
      </w:r>
      <w:r w:rsidRPr="00DE74AD">
        <w:t xml:space="preserve"> the fully CRS-overlapping CORESET.</w:t>
      </w:r>
    </w:p>
    <w:p w14:paraId="1C48B7CF" w14:textId="66991603" w:rsidR="00FE4290" w:rsidRDefault="00FE4290" w:rsidP="00FE4290">
      <w:r>
        <w:rPr>
          <w:b/>
          <w:bCs/>
        </w:rPr>
        <w:lastRenderedPageBreak/>
        <w:t xml:space="preserve">Observation 1: </w:t>
      </w:r>
      <w:r>
        <w:t xml:space="preserve">Legacy PDCCH CE </w:t>
      </w:r>
      <w:proofErr w:type="gramStart"/>
      <w:r>
        <w:t>is able to</w:t>
      </w:r>
      <w:proofErr w:type="gramEnd"/>
      <w:r>
        <w:t xml:space="preserve"> process PDCCH with all symbols overlapping with LTE CRS</w:t>
      </w:r>
    </w:p>
    <w:p w14:paraId="2CC04FC7" w14:textId="66DCD133" w:rsidR="00FE4290" w:rsidRDefault="00FE4290" w:rsidP="00FE4290">
      <w:r>
        <w:rPr>
          <w:b/>
          <w:bCs/>
        </w:rPr>
        <w:t xml:space="preserve">Proposal 1: </w:t>
      </w:r>
      <w:r>
        <w:t>Basic UE capability for PDCCH overlapping with LTE CRS supports CORESET configuration with all symbols overlapping with LTE CRS REs</w:t>
      </w:r>
    </w:p>
    <w:p w14:paraId="68C14C06" w14:textId="77777777" w:rsidR="00FE4290" w:rsidRPr="004374BF" w:rsidRDefault="00FE4290" w:rsidP="00FE4290"/>
    <w:p w14:paraId="21580B6A" w14:textId="77777777" w:rsidR="00FE4290" w:rsidRDefault="00FE4290" w:rsidP="00FE4290">
      <w:r>
        <w:t>The UE’s support for processing a PDCCH candidate that has REs overlapping with LTE CRS REs configured to the UE is obviously a new UE capability as the legacy UEs are expected to drop the PDCCH candidates that it knows overlap with LTE CRS. This regardless from the fact that the legacy UEs would possess the ability to process the PDCCH candidate, but due to unfortunate overspecification are supposed to drop such a candidate.</w:t>
      </w:r>
    </w:p>
    <w:p w14:paraId="5A8E6E00" w14:textId="006B78C4" w:rsidR="00FE4290" w:rsidRDefault="00FE4290" w:rsidP="00FE4290">
      <w:r>
        <w:t>Furthermore, as shown in [</w:t>
      </w:r>
      <w:hyperlink r:id="rId14" w:history="1">
        <w:r w:rsidR="00AB4632" w:rsidRPr="00D94E9C">
          <w:rPr>
            <w:rStyle w:val="Hyperlink"/>
          </w:rPr>
          <w:t>R1-2206</w:t>
        </w:r>
        <w:r w:rsidR="00AB4632" w:rsidRPr="00D94E9C">
          <w:rPr>
            <w:rStyle w:val="Hyperlink"/>
          </w:rPr>
          <w:t>4</w:t>
        </w:r>
        <w:r w:rsidR="00AB4632" w:rsidRPr="00D94E9C">
          <w:rPr>
            <w:rStyle w:val="Hyperlink"/>
          </w:rPr>
          <w:t>32</w:t>
        </w:r>
      </w:hyperlink>
      <w:r>
        <w:t>]</w:t>
      </w:r>
      <w:r w:rsidR="00AB4632">
        <w:t xml:space="preserve"> (Nokia, Nokia Shanghai Bell)</w:t>
      </w:r>
      <w:r>
        <w:t xml:space="preserve">, the UE that optimizes its PDCCH demodulator/decoder may reach different performance than one that exploits the “legacy” PDCCH demodulator/decoder that doesn’t take the PDCCH/CRS collisions into account. Specifically, for a given receiver type, the gNB could avoid using or even configuring the PDCCH candidates that it knows have a very high SNR requirement or can be expected to fail no matter what the SNR when colliding with </w:t>
      </w:r>
      <w:proofErr w:type="spellStart"/>
      <w:r>
        <w:t>REs.</w:t>
      </w:r>
      <w:proofErr w:type="spellEnd"/>
      <w:r>
        <w:t xml:space="preserve"> In </w:t>
      </w:r>
      <w:proofErr w:type="gramStart"/>
      <w:r>
        <w:t>addition</w:t>
      </w:r>
      <w:proofErr w:type="gramEnd"/>
      <w:r>
        <w:t xml:space="preserve"> it would be useful for the UE could drop the PDCCH AL2 that are known to fail with very high probability and not count these PDCCH candidates in the PDCCH blind </w:t>
      </w:r>
      <w:proofErr w:type="spellStart"/>
      <w:r>
        <w:t>decodin</w:t>
      </w:r>
      <w:proofErr w:type="spellEnd"/>
      <w:r>
        <w:t xml:space="preserve"> budget.</w:t>
      </w:r>
    </w:p>
    <w:p w14:paraId="251EDE74" w14:textId="3657F687" w:rsidR="00FE4290" w:rsidRDefault="00FE4290" w:rsidP="00FE4290">
      <w:r>
        <w:rPr>
          <w:b/>
          <w:bCs/>
        </w:rPr>
        <w:t xml:space="preserve">Observation 2: </w:t>
      </w:r>
      <w:r>
        <w:t>It is beneficial for the gNB to know to what the UE is capable of in terms of PDCCH processing when overlapping with LTE CRS</w:t>
      </w:r>
    </w:p>
    <w:p w14:paraId="7E83205C" w14:textId="77777777" w:rsidR="00FE4290" w:rsidRPr="004374BF" w:rsidRDefault="00FE4290" w:rsidP="00FE4290">
      <w:r w:rsidRPr="004374BF">
        <w:t>Different UE capabilities helping the network to decide what to do with the colliding REs are:</w:t>
      </w:r>
    </w:p>
    <w:p w14:paraId="077D5A58" w14:textId="77777777" w:rsidR="00FE4290" w:rsidRPr="007A2EDA" w:rsidRDefault="00FE4290" w:rsidP="00FE4290">
      <w:pPr>
        <w:pStyle w:val="ListParagraph"/>
        <w:numPr>
          <w:ilvl w:val="0"/>
          <w:numId w:val="32"/>
        </w:numPr>
        <w:rPr>
          <w:sz w:val="20"/>
          <w:szCs w:val="20"/>
          <w:lang w:val="en-US"/>
        </w:rPr>
      </w:pPr>
      <w:r w:rsidRPr="007A2EDA">
        <w:rPr>
          <w:sz w:val="20"/>
          <w:szCs w:val="20"/>
          <w:lang w:val="en-US"/>
        </w:rPr>
        <w:t>Is the PDCCH channel estimator using the DMRS of the symbol with the LTE CRS REs</w:t>
      </w:r>
    </w:p>
    <w:p w14:paraId="6EFF8B40" w14:textId="77777777" w:rsidR="00FE4290" w:rsidRPr="007A2EDA" w:rsidRDefault="00FE4290" w:rsidP="00FE4290">
      <w:pPr>
        <w:pStyle w:val="ListParagraph"/>
        <w:numPr>
          <w:ilvl w:val="0"/>
          <w:numId w:val="32"/>
        </w:numPr>
        <w:rPr>
          <w:sz w:val="20"/>
          <w:szCs w:val="20"/>
          <w:lang w:val="en-US"/>
        </w:rPr>
      </w:pPr>
      <w:r w:rsidRPr="007A2EDA">
        <w:rPr>
          <w:sz w:val="20"/>
          <w:szCs w:val="20"/>
          <w:lang w:val="en-US"/>
        </w:rPr>
        <w:t>Is the PDCCH channel estimator using the DMRS REs colliding with the LTE CRS REs</w:t>
      </w:r>
    </w:p>
    <w:p w14:paraId="5C8E19AC" w14:textId="77777777" w:rsidR="00FE4290" w:rsidRPr="007A2EDA" w:rsidRDefault="00FE4290" w:rsidP="00FE4290">
      <w:pPr>
        <w:pStyle w:val="ListParagraph"/>
        <w:numPr>
          <w:ilvl w:val="0"/>
          <w:numId w:val="32"/>
        </w:numPr>
        <w:rPr>
          <w:sz w:val="20"/>
          <w:szCs w:val="20"/>
          <w:lang w:val="en-US"/>
        </w:rPr>
      </w:pPr>
      <w:r w:rsidRPr="007A2EDA">
        <w:rPr>
          <w:sz w:val="20"/>
          <w:szCs w:val="20"/>
          <w:lang w:val="en-US"/>
        </w:rPr>
        <w:t>Is the PDCCH decoder always puncturing the PDCCH REs colliding with the LTE CRS RE</w:t>
      </w:r>
    </w:p>
    <w:p w14:paraId="527BCC67" w14:textId="77777777" w:rsidR="00FE4290" w:rsidRPr="007A2EDA" w:rsidRDefault="00FE4290" w:rsidP="00FE4290">
      <w:pPr>
        <w:pStyle w:val="ListParagraph"/>
        <w:numPr>
          <w:ilvl w:val="0"/>
          <w:numId w:val="32"/>
        </w:numPr>
        <w:rPr>
          <w:sz w:val="20"/>
          <w:szCs w:val="20"/>
          <w:lang w:val="en-US"/>
        </w:rPr>
      </w:pPr>
      <w:r w:rsidRPr="007A2EDA">
        <w:rPr>
          <w:sz w:val="20"/>
          <w:szCs w:val="20"/>
          <w:lang w:val="en-US"/>
        </w:rPr>
        <w:t>Is the PDCCH channel estimator and decoder able to leverage relative power difference information between the PDCCH and the LTE CRS REs</w:t>
      </w:r>
    </w:p>
    <w:p w14:paraId="725D5AFD" w14:textId="77777777" w:rsidR="00FE4290" w:rsidRPr="007A2EDA" w:rsidRDefault="00FE4290" w:rsidP="00FE4290">
      <w:pPr>
        <w:pStyle w:val="ListParagraph"/>
        <w:ind w:left="420"/>
        <w:rPr>
          <w:sz w:val="20"/>
          <w:szCs w:val="20"/>
          <w:lang w:val="en-US"/>
        </w:rPr>
      </w:pPr>
    </w:p>
    <w:p w14:paraId="0278985F" w14:textId="77777777" w:rsidR="00FE4290" w:rsidRDefault="00FE4290" w:rsidP="00FE4290">
      <w:r>
        <w:t xml:space="preserve">Knowing the above capabilities allows the gNB to decide what to do with the PDCCH/PDCCH DMRS REs that collide with the LTE CRS </w:t>
      </w:r>
      <w:proofErr w:type="spellStart"/>
      <w:r>
        <w:t>REs.</w:t>
      </w:r>
      <w:proofErr w:type="spellEnd"/>
      <w:r>
        <w:t xml:space="preserve"> These can be expressed as 4 separate capabilities as outlined in table 1:</w:t>
      </w:r>
    </w:p>
    <w:p w14:paraId="677A1CBF" w14:textId="01B43DFD" w:rsidR="00FE4290" w:rsidRPr="00830CE0" w:rsidRDefault="00FE4290" w:rsidP="00FE4290">
      <w:r>
        <w:rPr>
          <w:b/>
          <w:bCs/>
        </w:rPr>
        <w:t xml:space="preserve">Proposal 2: </w:t>
      </w:r>
      <w:r>
        <w:t>Take the table 1 as the basis for UE capability discussion for the PDCCH overlapping with LTE CRS</w:t>
      </w:r>
    </w:p>
    <w:p w14:paraId="52ADB9FB" w14:textId="77777777" w:rsidR="00FE4290" w:rsidRDefault="00FE4290" w:rsidP="00FE4290"/>
    <w:p w14:paraId="6DC4C6EB" w14:textId="77777777" w:rsidR="00FE4290" w:rsidRDefault="00FE4290" w:rsidP="00FE4290">
      <w:pPr>
        <w:pStyle w:val="Caption"/>
        <w:keepNext/>
      </w:pPr>
      <w:r>
        <w:t>Table 1: Set of new Rel-18 UE capabilities for PDCCH overlapping LTE CRS</w:t>
      </w:r>
    </w:p>
    <w:tbl>
      <w:tblPr>
        <w:tblStyle w:val="TableGrid"/>
        <w:tblW w:w="0" w:type="auto"/>
        <w:tblLayout w:type="fixed"/>
        <w:tblLook w:val="04A0" w:firstRow="1" w:lastRow="0" w:firstColumn="1" w:lastColumn="0" w:noHBand="0" w:noVBand="1"/>
      </w:tblPr>
      <w:tblGrid>
        <w:gridCol w:w="696"/>
        <w:gridCol w:w="1836"/>
        <w:gridCol w:w="3133"/>
        <w:gridCol w:w="1560"/>
        <w:gridCol w:w="2404"/>
      </w:tblGrid>
      <w:tr w:rsidR="00FE4290" w14:paraId="77A503A6" w14:textId="77777777" w:rsidTr="001B6DE2">
        <w:tc>
          <w:tcPr>
            <w:tcW w:w="696" w:type="dxa"/>
          </w:tcPr>
          <w:p w14:paraId="3110256D" w14:textId="77777777" w:rsidR="00FE4290" w:rsidRDefault="00FE4290" w:rsidP="001B6DE2">
            <w:r>
              <w:t>FG</w:t>
            </w:r>
          </w:p>
        </w:tc>
        <w:tc>
          <w:tcPr>
            <w:tcW w:w="1836" w:type="dxa"/>
          </w:tcPr>
          <w:p w14:paraId="53788A68" w14:textId="77777777" w:rsidR="00FE4290" w:rsidRDefault="00FE4290" w:rsidP="001B6DE2">
            <w:r>
              <w:t>FG name</w:t>
            </w:r>
          </w:p>
        </w:tc>
        <w:tc>
          <w:tcPr>
            <w:tcW w:w="3133" w:type="dxa"/>
          </w:tcPr>
          <w:p w14:paraId="5262A061" w14:textId="77777777" w:rsidR="00FE4290" w:rsidRDefault="00FE4290" w:rsidP="001B6DE2">
            <w:r>
              <w:t>Components</w:t>
            </w:r>
          </w:p>
        </w:tc>
        <w:tc>
          <w:tcPr>
            <w:tcW w:w="1560" w:type="dxa"/>
          </w:tcPr>
          <w:p w14:paraId="2CAF98F5" w14:textId="77777777" w:rsidR="00FE4290" w:rsidRDefault="00FE4290" w:rsidP="001B6DE2">
            <w:r>
              <w:t>Value range</w:t>
            </w:r>
          </w:p>
        </w:tc>
        <w:tc>
          <w:tcPr>
            <w:tcW w:w="2404" w:type="dxa"/>
          </w:tcPr>
          <w:p w14:paraId="678BC22C" w14:textId="77777777" w:rsidR="00FE4290" w:rsidRDefault="00FE4290" w:rsidP="001B6DE2">
            <w:r>
              <w:t>Note</w:t>
            </w:r>
          </w:p>
        </w:tc>
      </w:tr>
      <w:tr w:rsidR="00FE4290" w14:paraId="66EF30F7" w14:textId="77777777" w:rsidTr="001B6DE2">
        <w:trPr>
          <w:trHeight w:val="776"/>
        </w:trPr>
        <w:tc>
          <w:tcPr>
            <w:tcW w:w="696" w:type="dxa"/>
          </w:tcPr>
          <w:p w14:paraId="1089E634" w14:textId="77777777" w:rsidR="00FE4290" w:rsidRDefault="00FE4290" w:rsidP="001B6DE2">
            <w:r>
              <w:t>X-1</w:t>
            </w:r>
          </w:p>
        </w:tc>
        <w:tc>
          <w:tcPr>
            <w:tcW w:w="1836" w:type="dxa"/>
          </w:tcPr>
          <w:p w14:paraId="155105C7" w14:textId="77777777" w:rsidR="00FE4290" w:rsidRDefault="00FE4290" w:rsidP="001B6DE2">
            <w:r>
              <w:t>Support for PDCCH monitoring on LTE CRS</w:t>
            </w:r>
          </w:p>
        </w:tc>
        <w:tc>
          <w:tcPr>
            <w:tcW w:w="3133" w:type="dxa"/>
          </w:tcPr>
          <w:p w14:paraId="60574F33" w14:textId="77777777" w:rsidR="00FE4290" w:rsidRDefault="00FE4290" w:rsidP="001B6DE2">
            <w:r>
              <w:t xml:space="preserve">The UE </w:t>
            </w:r>
            <w:proofErr w:type="gramStart"/>
            <w:r>
              <w:t>is capable of monitoring</w:t>
            </w:r>
            <w:proofErr w:type="gramEnd"/>
            <w:r>
              <w:t xml:space="preserve"> a PDCCH candidate that overlaps with LTE CRS RE(s) using all the PDCCH DMRS REs nominally present with the candidate</w:t>
            </w:r>
          </w:p>
        </w:tc>
        <w:tc>
          <w:tcPr>
            <w:tcW w:w="1560" w:type="dxa"/>
          </w:tcPr>
          <w:p w14:paraId="1086424E" w14:textId="77777777" w:rsidR="00FE4290" w:rsidRDefault="00FE4290" w:rsidP="001B6DE2">
            <w:r>
              <w:t>{Supported}</w:t>
            </w:r>
          </w:p>
        </w:tc>
        <w:tc>
          <w:tcPr>
            <w:tcW w:w="2404" w:type="dxa"/>
          </w:tcPr>
          <w:p w14:paraId="09AA5799" w14:textId="77777777" w:rsidR="00FE4290" w:rsidRDefault="00FE4290" w:rsidP="001B6DE2">
            <w:r>
              <w:t>Basic capability for this feature. Can be supported with the PDCCH channel estimator as implemented in earlier releases.</w:t>
            </w:r>
          </w:p>
        </w:tc>
      </w:tr>
      <w:tr w:rsidR="00FE4290" w14:paraId="62CADA24" w14:textId="77777777" w:rsidTr="001B6DE2">
        <w:trPr>
          <w:trHeight w:val="629"/>
        </w:trPr>
        <w:tc>
          <w:tcPr>
            <w:tcW w:w="696" w:type="dxa"/>
          </w:tcPr>
          <w:p w14:paraId="01367044" w14:textId="77777777" w:rsidR="00FE4290" w:rsidRDefault="00FE4290" w:rsidP="001B6DE2">
            <w:r>
              <w:t>X-2a</w:t>
            </w:r>
          </w:p>
        </w:tc>
        <w:tc>
          <w:tcPr>
            <w:tcW w:w="1836" w:type="dxa"/>
          </w:tcPr>
          <w:p w14:paraId="207D8FD6" w14:textId="77777777" w:rsidR="00FE4290" w:rsidRDefault="00FE4290" w:rsidP="001B6DE2">
            <w:r>
              <w:t>Optimized PDCCH CE for PDCCH overlapping with LTE CRS #1</w:t>
            </w:r>
          </w:p>
        </w:tc>
        <w:tc>
          <w:tcPr>
            <w:tcW w:w="3133" w:type="dxa"/>
          </w:tcPr>
          <w:p w14:paraId="0C03C1E3" w14:textId="77777777" w:rsidR="00FE4290" w:rsidRPr="002F62FA" w:rsidRDefault="00FE4290" w:rsidP="001B6DE2">
            <w:r w:rsidRPr="002F62FA">
              <w:t>Support for ignoring the PDCCH DMRS REs colliding with LTE CRS</w:t>
            </w:r>
          </w:p>
          <w:p w14:paraId="0731E8D6" w14:textId="77777777" w:rsidR="00FE4290" w:rsidRPr="002F62FA" w:rsidRDefault="00FE4290" w:rsidP="001B6DE2"/>
        </w:tc>
        <w:tc>
          <w:tcPr>
            <w:tcW w:w="1560" w:type="dxa"/>
          </w:tcPr>
          <w:p w14:paraId="20BE20E4" w14:textId="77777777" w:rsidR="00FE4290" w:rsidRPr="00FE5A5F" w:rsidRDefault="00FE4290" w:rsidP="001B6DE2">
            <w:r w:rsidRPr="002F62FA">
              <w:t>{Supported}</w:t>
            </w:r>
          </w:p>
        </w:tc>
        <w:tc>
          <w:tcPr>
            <w:tcW w:w="2404" w:type="dxa"/>
          </w:tcPr>
          <w:p w14:paraId="39007D11" w14:textId="77777777" w:rsidR="00FE4290" w:rsidRPr="00000FB2" w:rsidRDefault="00FE4290" w:rsidP="001B6DE2">
            <w:r w:rsidRPr="00000FB2">
              <w:t>X-1</w:t>
            </w:r>
            <w:r>
              <w:t xml:space="preserve"> is a pre-requisite capability</w:t>
            </w:r>
          </w:p>
        </w:tc>
      </w:tr>
      <w:tr w:rsidR="00FE4290" w14:paraId="1841B4FE" w14:textId="77777777" w:rsidTr="001B6DE2">
        <w:trPr>
          <w:trHeight w:val="629"/>
        </w:trPr>
        <w:tc>
          <w:tcPr>
            <w:tcW w:w="696" w:type="dxa"/>
          </w:tcPr>
          <w:p w14:paraId="1B1F7AE3" w14:textId="77777777" w:rsidR="00FE4290" w:rsidRDefault="00FE4290" w:rsidP="001B6DE2">
            <w:r>
              <w:t>X-2b</w:t>
            </w:r>
          </w:p>
        </w:tc>
        <w:tc>
          <w:tcPr>
            <w:tcW w:w="1836" w:type="dxa"/>
          </w:tcPr>
          <w:p w14:paraId="21BA07D8" w14:textId="77777777" w:rsidR="00FE4290" w:rsidRDefault="00FE4290" w:rsidP="001B6DE2">
            <w:r>
              <w:t>Optimized PDCCH CE for PDCCH overlapping with LTE CRS #2</w:t>
            </w:r>
          </w:p>
        </w:tc>
        <w:tc>
          <w:tcPr>
            <w:tcW w:w="3133" w:type="dxa"/>
          </w:tcPr>
          <w:p w14:paraId="78CBB7D7" w14:textId="77777777" w:rsidR="00FE4290" w:rsidRPr="002F62FA" w:rsidRDefault="00FE4290" w:rsidP="001B6DE2">
            <w:r w:rsidRPr="002F62FA">
              <w:t>Support for ignoring the PDCCH DMRS REs of a symbol colliding with LTE CRS and base the PDCCH channel estimate on the symbol(s) with no overlap with LTE CRS, if at least one present</w:t>
            </w:r>
          </w:p>
        </w:tc>
        <w:tc>
          <w:tcPr>
            <w:tcW w:w="1560" w:type="dxa"/>
          </w:tcPr>
          <w:p w14:paraId="3A58B329" w14:textId="77777777" w:rsidR="00FE4290" w:rsidRPr="00FE5A5F" w:rsidRDefault="00FE4290" w:rsidP="001B6DE2">
            <w:r w:rsidRPr="002F62FA">
              <w:t>{Supported}</w:t>
            </w:r>
          </w:p>
        </w:tc>
        <w:tc>
          <w:tcPr>
            <w:tcW w:w="2404" w:type="dxa"/>
          </w:tcPr>
          <w:p w14:paraId="77DDEFB4" w14:textId="77777777" w:rsidR="00FE4290" w:rsidRPr="00000FB2" w:rsidRDefault="00FE4290" w:rsidP="001B6DE2">
            <w:r w:rsidRPr="00000FB2">
              <w:t>X-1</w:t>
            </w:r>
            <w:r>
              <w:t xml:space="preserve"> is a pre-requisite capability</w:t>
            </w:r>
          </w:p>
        </w:tc>
      </w:tr>
      <w:tr w:rsidR="00FE4290" w14:paraId="4295EDC7" w14:textId="77777777" w:rsidTr="001B6DE2">
        <w:trPr>
          <w:trHeight w:val="680"/>
        </w:trPr>
        <w:tc>
          <w:tcPr>
            <w:tcW w:w="696" w:type="dxa"/>
          </w:tcPr>
          <w:p w14:paraId="2BC93DA1" w14:textId="77777777" w:rsidR="00FE4290" w:rsidRDefault="00FE4290" w:rsidP="001B6DE2">
            <w:r>
              <w:t>X-3</w:t>
            </w:r>
          </w:p>
        </w:tc>
        <w:tc>
          <w:tcPr>
            <w:tcW w:w="1836" w:type="dxa"/>
          </w:tcPr>
          <w:p w14:paraId="624E1CA8" w14:textId="77777777" w:rsidR="00FE4290" w:rsidRDefault="00FE4290" w:rsidP="001B6DE2">
            <w:r>
              <w:t xml:space="preserve">Optimized PDCCH decoding for PDCCH </w:t>
            </w:r>
            <w:r>
              <w:lastRenderedPageBreak/>
              <w:t>overlapping with LTE CRS</w:t>
            </w:r>
          </w:p>
        </w:tc>
        <w:tc>
          <w:tcPr>
            <w:tcW w:w="3133" w:type="dxa"/>
          </w:tcPr>
          <w:p w14:paraId="69AE4AB2" w14:textId="77777777" w:rsidR="00FE4290" w:rsidRPr="002F62FA" w:rsidRDefault="00FE4290" w:rsidP="001B6DE2">
            <w:r w:rsidRPr="002F62FA">
              <w:lastRenderedPageBreak/>
              <w:t>Support for ignoring the PDCCH REs colliding with LTE CRS</w:t>
            </w:r>
          </w:p>
          <w:p w14:paraId="5E747D8E" w14:textId="77777777" w:rsidR="00FE4290" w:rsidRPr="002F62FA" w:rsidRDefault="00FE4290" w:rsidP="001B6DE2"/>
        </w:tc>
        <w:tc>
          <w:tcPr>
            <w:tcW w:w="1560" w:type="dxa"/>
          </w:tcPr>
          <w:p w14:paraId="3601AA32" w14:textId="77777777" w:rsidR="00FE4290" w:rsidRPr="002F62FA" w:rsidRDefault="00FE4290" w:rsidP="001B6DE2">
            <w:r w:rsidRPr="002F62FA">
              <w:t>{Supported}</w:t>
            </w:r>
          </w:p>
          <w:p w14:paraId="78EB126F" w14:textId="77777777" w:rsidR="00FE4290" w:rsidRDefault="00FE4290" w:rsidP="001B6DE2"/>
        </w:tc>
        <w:tc>
          <w:tcPr>
            <w:tcW w:w="2404" w:type="dxa"/>
          </w:tcPr>
          <w:p w14:paraId="6D2F1718" w14:textId="77777777" w:rsidR="00FE4290" w:rsidRDefault="00FE4290" w:rsidP="001B6DE2">
            <w:r w:rsidRPr="00000FB2">
              <w:t>X-1</w:t>
            </w:r>
            <w:r>
              <w:t xml:space="preserve"> is a pre-requisite capability</w:t>
            </w:r>
          </w:p>
        </w:tc>
      </w:tr>
      <w:tr w:rsidR="00FE4290" w14:paraId="28045089" w14:textId="77777777" w:rsidTr="001B6DE2">
        <w:trPr>
          <w:trHeight w:val="629"/>
        </w:trPr>
        <w:tc>
          <w:tcPr>
            <w:tcW w:w="696" w:type="dxa"/>
          </w:tcPr>
          <w:p w14:paraId="0CCFC117" w14:textId="77777777" w:rsidR="00FE4290" w:rsidRDefault="00FE4290" w:rsidP="001B6DE2">
            <w:r>
              <w:t>X-4</w:t>
            </w:r>
          </w:p>
        </w:tc>
        <w:tc>
          <w:tcPr>
            <w:tcW w:w="1836" w:type="dxa"/>
          </w:tcPr>
          <w:p w14:paraId="192F4202" w14:textId="77777777" w:rsidR="00FE4290" w:rsidRDefault="00FE4290" w:rsidP="001B6DE2">
            <w:r>
              <w:t>PDCCH to LTE CRS configuration</w:t>
            </w:r>
          </w:p>
        </w:tc>
        <w:tc>
          <w:tcPr>
            <w:tcW w:w="3133" w:type="dxa"/>
          </w:tcPr>
          <w:p w14:paraId="45041879" w14:textId="77777777" w:rsidR="00FE4290" w:rsidRPr="002F62FA" w:rsidRDefault="00FE4290" w:rsidP="001B6DE2">
            <w:r w:rsidRPr="002F62FA">
              <w:t xml:space="preserve">Support for PDCCH </w:t>
            </w:r>
            <w:r>
              <w:t xml:space="preserve">and PDCCH </w:t>
            </w:r>
            <w:r w:rsidRPr="002F62FA">
              <w:t>DMRS to LTE CRS power ratio configuration</w:t>
            </w:r>
          </w:p>
        </w:tc>
        <w:tc>
          <w:tcPr>
            <w:tcW w:w="1560" w:type="dxa"/>
          </w:tcPr>
          <w:p w14:paraId="492BBA51" w14:textId="77777777" w:rsidR="00FE4290" w:rsidRPr="00FE5A5F" w:rsidRDefault="00FE4290" w:rsidP="001B6DE2">
            <w:r w:rsidRPr="002F62FA">
              <w:t>{Supported}</w:t>
            </w:r>
          </w:p>
        </w:tc>
        <w:tc>
          <w:tcPr>
            <w:tcW w:w="2404" w:type="dxa"/>
          </w:tcPr>
          <w:p w14:paraId="2D977F88" w14:textId="77777777" w:rsidR="00FE4290" w:rsidRPr="00000FB2" w:rsidRDefault="00FE4290" w:rsidP="001B6DE2">
            <w:r w:rsidRPr="00000FB2">
              <w:t>X-1</w:t>
            </w:r>
            <w:r>
              <w:t xml:space="preserve"> is a pre-requisite capability</w:t>
            </w:r>
          </w:p>
        </w:tc>
      </w:tr>
    </w:tbl>
    <w:p w14:paraId="4892603A" w14:textId="77777777" w:rsidR="00FE4290" w:rsidRDefault="00FE4290" w:rsidP="00FE4290"/>
    <w:p w14:paraId="32825D59" w14:textId="77777777" w:rsidR="00FE4290" w:rsidRDefault="00FE4290" w:rsidP="00FE4290"/>
    <w:p w14:paraId="10445A01" w14:textId="65BF2491" w:rsidR="00885580" w:rsidRDefault="007820D0" w:rsidP="00885580">
      <w:pPr>
        <w:pStyle w:val="Heading1"/>
      </w:pPr>
      <w:r>
        <w:t>Conclusion</w:t>
      </w:r>
    </w:p>
    <w:p w14:paraId="384567B8" w14:textId="62C2C7F3" w:rsidR="001337A5" w:rsidRDefault="00497426" w:rsidP="001F201D">
      <w:r>
        <w:t xml:space="preserve">In this contribution we presented our initial views on UE features for </w:t>
      </w:r>
      <w:proofErr w:type="spellStart"/>
      <w:r w:rsidR="00ED3022">
        <w:t>eDSS</w:t>
      </w:r>
      <w:proofErr w:type="spellEnd"/>
      <w:r>
        <w:t xml:space="preserve">, and we have made the following </w:t>
      </w:r>
      <w:r w:rsidR="002C0BE3">
        <w:t xml:space="preserve">observations and </w:t>
      </w:r>
      <w:r>
        <w:t>proposals:</w:t>
      </w:r>
    </w:p>
    <w:p w14:paraId="7E32AA0B" w14:textId="77777777" w:rsidR="00ED3022" w:rsidRDefault="00ED3022" w:rsidP="00ED3022">
      <w:r>
        <w:rPr>
          <w:b/>
          <w:bCs/>
        </w:rPr>
        <w:t xml:space="preserve">Observation 1: </w:t>
      </w:r>
      <w:r>
        <w:t xml:space="preserve">Legacy PDCCH CE </w:t>
      </w:r>
      <w:proofErr w:type="gramStart"/>
      <w:r>
        <w:t>is able to</w:t>
      </w:r>
      <w:proofErr w:type="gramEnd"/>
      <w:r>
        <w:t xml:space="preserve"> process PDCCH with all symbols overlapping with LTE CRS</w:t>
      </w:r>
    </w:p>
    <w:p w14:paraId="78B25936" w14:textId="66B67CB6" w:rsidR="00ED3022" w:rsidRDefault="00ED3022" w:rsidP="00ED3022">
      <w:r>
        <w:rPr>
          <w:b/>
          <w:bCs/>
        </w:rPr>
        <w:t xml:space="preserve">Proposal 1: </w:t>
      </w:r>
      <w:r>
        <w:t>Basic UE capability for PDCCH overlapping with LTE CRS supports CORESET configuration with all symbols overlapping with LTE CRS Res</w:t>
      </w:r>
    </w:p>
    <w:p w14:paraId="01DB3A59" w14:textId="77777777" w:rsidR="00ED3022" w:rsidRDefault="00ED3022" w:rsidP="00ED3022">
      <w:r>
        <w:rPr>
          <w:b/>
          <w:bCs/>
        </w:rPr>
        <w:t xml:space="preserve">Observation 2: </w:t>
      </w:r>
      <w:r>
        <w:t>It is beneficial for the gNB to know to what the UE is capable of in terms of PDCCH processing when overlapping with LTE CRS</w:t>
      </w:r>
    </w:p>
    <w:p w14:paraId="0890636B" w14:textId="1DB3B6FE" w:rsidR="00ED3022" w:rsidRDefault="00ED3022" w:rsidP="00ED3022">
      <w:r>
        <w:rPr>
          <w:b/>
          <w:bCs/>
        </w:rPr>
        <w:t xml:space="preserve">Proposal 2: </w:t>
      </w:r>
      <w:r>
        <w:t>Take the table 1 as the basis for UE capability discussion for the PDCCH overlapping with LTE CRS</w:t>
      </w:r>
    </w:p>
    <w:p w14:paraId="48CBFBDF" w14:textId="560D1473" w:rsidR="000C5B5B" w:rsidRPr="00E97FBC" w:rsidRDefault="000C5B5B">
      <w:pPr>
        <w:overflowPunct/>
        <w:autoSpaceDE/>
        <w:autoSpaceDN/>
        <w:adjustRightInd/>
        <w:spacing w:after="0"/>
        <w:textAlignment w:val="auto"/>
        <w:rPr>
          <w:lang w:val="en-US"/>
        </w:rPr>
      </w:pPr>
    </w:p>
    <w:sectPr w:rsidR="000C5B5B" w:rsidRPr="00E97FBC" w:rsidSect="00D543F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F308" w14:textId="77777777" w:rsidR="004E310F" w:rsidRDefault="004E310F">
      <w:r>
        <w:separator/>
      </w:r>
    </w:p>
  </w:endnote>
  <w:endnote w:type="continuationSeparator" w:id="0">
    <w:p w14:paraId="46A233AA" w14:textId="77777777" w:rsidR="004E310F" w:rsidRDefault="004E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9297" w14:textId="77777777" w:rsidR="003C693D" w:rsidRDefault="003C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3F6B" w14:textId="77777777" w:rsidR="003C693D" w:rsidRDefault="003C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C18D" w14:textId="77777777" w:rsidR="003C693D" w:rsidRDefault="003C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DFD3" w14:textId="77777777" w:rsidR="004E310F" w:rsidRDefault="004E310F">
      <w:r>
        <w:separator/>
      </w:r>
    </w:p>
  </w:footnote>
  <w:footnote w:type="continuationSeparator" w:id="0">
    <w:p w14:paraId="578FA3BD" w14:textId="77777777" w:rsidR="004E310F" w:rsidRDefault="004E3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6B81" w14:textId="77777777" w:rsidR="003C693D" w:rsidRDefault="003C6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6D0" w14:textId="77777777" w:rsidR="003C693D" w:rsidRDefault="003C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2A3B" w14:textId="77777777" w:rsidR="003C693D" w:rsidRDefault="003C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6"/>
  </w:num>
  <w:num w:numId="2" w16cid:durableId="744496443">
    <w:abstractNumId w:val="26"/>
  </w:num>
  <w:num w:numId="3" w16cid:durableId="1859855038">
    <w:abstractNumId w:val="0"/>
  </w:num>
  <w:num w:numId="4" w16cid:durableId="1963807548">
    <w:abstractNumId w:val="2"/>
  </w:num>
  <w:num w:numId="5" w16cid:durableId="669986164">
    <w:abstractNumId w:val="14"/>
  </w:num>
  <w:num w:numId="6" w16cid:durableId="1168131915">
    <w:abstractNumId w:val="27"/>
  </w:num>
  <w:num w:numId="7" w16cid:durableId="813571431">
    <w:abstractNumId w:val="17"/>
  </w:num>
  <w:num w:numId="8" w16cid:durableId="1189026752">
    <w:abstractNumId w:val="13"/>
  </w:num>
  <w:num w:numId="9" w16cid:durableId="838931800">
    <w:abstractNumId w:val="30"/>
  </w:num>
  <w:num w:numId="10" w16cid:durableId="1573464737">
    <w:abstractNumId w:val="4"/>
  </w:num>
  <w:num w:numId="11" w16cid:durableId="257101052">
    <w:abstractNumId w:val="19"/>
  </w:num>
  <w:num w:numId="12" w16cid:durableId="1951353073">
    <w:abstractNumId w:val="3"/>
  </w:num>
  <w:num w:numId="13" w16cid:durableId="1911961443">
    <w:abstractNumId w:val="11"/>
  </w:num>
  <w:num w:numId="14" w16cid:durableId="630285384">
    <w:abstractNumId w:val="23"/>
  </w:num>
  <w:num w:numId="15" w16cid:durableId="357124585">
    <w:abstractNumId w:val="15"/>
  </w:num>
  <w:num w:numId="16" w16cid:durableId="1559780918">
    <w:abstractNumId w:val="1"/>
  </w:num>
  <w:num w:numId="17" w16cid:durableId="1764109268">
    <w:abstractNumId w:val="21"/>
  </w:num>
  <w:num w:numId="18" w16cid:durableId="139812750">
    <w:abstractNumId w:val="12"/>
  </w:num>
  <w:num w:numId="19" w16cid:durableId="1134371848">
    <w:abstractNumId w:val="18"/>
  </w:num>
  <w:num w:numId="20" w16cid:durableId="1905412601">
    <w:abstractNumId w:val="29"/>
  </w:num>
  <w:num w:numId="21" w16cid:durableId="346101783">
    <w:abstractNumId w:val="31"/>
  </w:num>
  <w:num w:numId="22" w16cid:durableId="1499273121">
    <w:abstractNumId w:val="20"/>
  </w:num>
  <w:num w:numId="23" w16cid:durableId="622422302">
    <w:abstractNumId w:val="10"/>
  </w:num>
  <w:num w:numId="24" w16cid:durableId="1385445363">
    <w:abstractNumId w:val="5"/>
  </w:num>
  <w:num w:numId="25" w16cid:durableId="533230926">
    <w:abstractNumId w:val="28"/>
  </w:num>
  <w:num w:numId="26" w16cid:durableId="1635525904">
    <w:abstractNumId w:val="25"/>
  </w:num>
  <w:num w:numId="27" w16cid:durableId="1644850337">
    <w:abstractNumId w:val="8"/>
  </w:num>
  <w:num w:numId="28" w16cid:durableId="1974865496">
    <w:abstractNumId w:val="7"/>
  </w:num>
  <w:num w:numId="29" w16cid:durableId="20857830">
    <w:abstractNumId w:val="22"/>
  </w:num>
  <w:num w:numId="30" w16cid:durableId="1262448462">
    <w:abstractNumId w:val="16"/>
  </w:num>
  <w:num w:numId="31" w16cid:durableId="22171418">
    <w:abstractNumId w:val="24"/>
  </w:num>
  <w:num w:numId="32" w16cid:durableId="6253079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b-e/Docs/R1-221035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43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5AIRPNAIUNRU-1830940522-19777</_dlc_DocId>
    <_dlc_DocIdUrl xmlns="71c5aaf6-e6ce-465b-b873-5148d2a4c105">
      <Url>https://nokia.sharepoint.com/sites/c5g/5gradio/_layouts/15/DocIdRedir.aspx?ID=5AIRPNAIUNRU-1830940522-19777</Url>
      <Description>5AIRPNAIUNRU-1830940522-19777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purl.org/dc/elements/1.1/"/>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ebabf6ce-2443-438c-9946-ecc878e7654a"/>
    <ds:schemaRef ds:uri="95d2e41d-1f11-4347-bb1c-11d6a32975dd"/>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3</Pages>
  <Words>1147</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2023-03-28T08:26:00Z</dcterms:created>
  <dcterms:modified xsi:type="dcterms:W3CDTF">2023-04-06T09:03:00Z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7c1e691d-3524-4760-9d30-c373af86e2f3</vt:lpwstr>
  </property>
</Properties>
</file>